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416" w:rsidRPr="00374C2A" w:rsidRDefault="00050416" w:rsidP="00050416">
      <w:pPr>
        <w:spacing w:line="360" w:lineRule="auto"/>
        <w:jc w:val="center"/>
        <w:rPr>
          <w:rFonts w:ascii="仿宋_GB2312" w:eastAsia="仿宋_GB2312" w:hAnsi="仿宋" w:cs="仿宋_GB2312"/>
          <w:b/>
          <w:bCs/>
          <w:color w:val="000000" w:themeColor="text1"/>
          <w:kern w:val="0"/>
          <w:sz w:val="28"/>
          <w:szCs w:val="28"/>
        </w:rPr>
      </w:pPr>
      <w:proofErr w:type="gramStart"/>
      <w:r w:rsidRPr="00374C2A">
        <w:rPr>
          <w:rFonts w:ascii="仿宋_GB2312" w:eastAsia="仿宋_GB2312" w:hAnsi="仿宋" w:cs="仿宋_GB2312" w:hint="eastAsia"/>
          <w:b/>
          <w:bCs/>
          <w:color w:val="000000" w:themeColor="text1"/>
          <w:kern w:val="0"/>
          <w:sz w:val="28"/>
          <w:szCs w:val="28"/>
        </w:rPr>
        <w:t>猪柳主菜</w:t>
      </w:r>
      <w:proofErr w:type="gramEnd"/>
      <w:r w:rsidRPr="00374C2A">
        <w:rPr>
          <w:rFonts w:ascii="仿宋_GB2312" w:eastAsia="仿宋_GB2312" w:hAnsi="仿宋" w:cs="仿宋_GB2312" w:hint="eastAsia"/>
          <w:b/>
          <w:bCs/>
          <w:color w:val="000000" w:themeColor="text1"/>
          <w:kern w:val="0"/>
          <w:sz w:val="28"/>
          <w:szCs w:val="28"/>
        </w:rPr>
        <w:t>配番茄汁（主菜 时间60分钟）</w:t>
      </w:r>
    </w:p>
    <w:p w:rsidR="00050416" w:rsidRDefault="00050416" w:rsidP="00050416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（1）</w:t>
      </w:r>
      <w:r w:rsidRPr="004E7CEB">
        <w:rPr>
          <w:rFonts w:ascii="仿宋_GB2312" w:eastAsia="仿宋_GB2312" w:hAnsi="仿宋" w:cs="仿宋_GB2312" w:hint="eastAsia"/>
          <w:bCs/>
          <w:kern w:val="0"/>
          <w:sz w:val="28"/>
          <w:szCs w:val="28"/>
        </w:rPr>
        <w:t>原料：</w:t>
      </w:r>
    </w:p>
    <w:p w:rsidR="00050416" w:rsidRDefault="00050416" w:rsidP="00050416">
      <w:pPr>
        <w:spacing w:line="360" w:lineRule="auto"/>
        <w:ind w:firstLineChars="200" w:firstLine="56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主料：</w:t>
      </w:r>
      <w:r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猪外脊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约（350-400克）</w: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；</w:t>
      </w:r>
    </w:p>
    <w:p w:rsidR="00050416" w:rsidRDefault="00050416" w:rsidP="00050416">
      <w:pPr>
        <w:spacing w:line="360" w:lineRule="auto"/>
        <w:ind w:firstLineChars="200" w:firstLine="56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辅料：</w:t>
      </w:r>
      <w:r w:rsidRPr="00374C2A">
        <w:rPr>
          <w:rFonts w:ascii="仿宋_GB2312" w:eastAsia="仿宋_GB2312" w:hAnsi="仿宋" w:hint="eastAsia"/>
          <w:color w:val="000000"/>
          <w:sz w:val="28"/>
          <w:szCs w:val="28"/>
        </w:rPr>
        <w:t>胡萝卜、西兰花、小番茄、土豆、新鲜口蘑、洋葱、芦笋、西兰花、番茄、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黄油、</w:t>
      </w:r>
      <w:r w:rsidRPr="00374C2A">
        <w:rPr>
          <w:rFonts w:ascii="仿宋_GB2312" w:eastAsia="仿宋_GB2312" w:hAnsi="仿宋" w:hint="eastAsia"/>
          <w:color w:val="000000"/>
          <w:sz w:val="28"/>
          <w:szCs w:val="28"/>
        </w:rPr>
        <w:t>茄膏、红酒、大蒜、布朗基础汤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；</w:t>
      </w:r>
    </w:p>
    <w:p w:rsidR="00050416" w:rsidRDefault="00050416" w:rsidP="00050416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（2）菜品定位：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设计制作以</w:t>
      </w:r>
      <w:r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猪外脊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为主体的主菜，适用高级餐厅</w:t>
      </w:r>
      <w:r w:rsidR="00031460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050416" w:rsidRPr="00DD424C" w:rsidRDefault="00050416" w:rsidP="00050416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（3）菜品要求：</w:t>
      </w:r>
    </w:p>
    <w:p w:rsidR="00050416" w:rsidRPr="00374C2A" w:rsidRDefault="00050416" w:rsidP="00050416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1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①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proofErr w:type="gramStart"/>
      <w:r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猪柳主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菜</w:t>
      </w:r>
      <w:proofErr w:type="gramEnd"/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每盘菜品总重量 240-260克，其中</w:t>
      </w:r>
      <w:r w:rsidRPr="00374C2A">
        <w:rPr>
          <w:rFonts w:ascii="仿宋_GB2312" w:eastAsia="仿宋_GB2312" w:hAnsi="仿宋" w:cs="仿宋_GB2312" w:hint="eastAsia"/>
          <w:color w:val="000000" w:themeColor="text1"/>
          <w:kern w:val="0"/>
          <w:sz w:val="28"/>
          <w:szCs w:val="28"/>
        </w:rPr>
        <w:t>猪外脊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的总重量为整份主菜的40%-50%。使用两种以上的蔬菜原料，总重量为整份主菜总重量的20%—30%。使用土豆，且土豆制品的重量为整份主菜总重量的10%—20%</w:t>
      </w:r>
      <w:r w:rsidR="00031460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050416" w:rsidRPr="00374C2A" w:rsidRDefault="00050416" w:rsidP="00050416">
      <w:pPr>
        <w:spacing w:line="360" w:lineRule="auto"/>
        <w:ind w:firstLineChars="200" w:firstLine="56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begin"/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>= 2 \* GB3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instrText xml:space="preserve"> </w:instrTex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separate"/>
      </w:r>
      <w:r>
        <w:rPr>
          <w:rFonts w:ascii="仿宋_GB2312" w:eastAsia="仿宋_GB2312" w:hAnsi="仿宋" w:cs="仿宋_GB2312" w:hint="eastAsia"/>
          <w:bCs/>
          <w:noProof/>
          <w:color w:val="000000" w:themeColor="text1"/>
          <w:kern w:val="0"/>
          <w:sz w:val="28"/>
          <w:szCs w:val="28"/>
        </w:rPr>
        <w:t>②</w:t>
      </w:r>
      <w:r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辅料与调味品现场提供，选手不得自备</w:t>
      </w:r>
      <w:r w:rsidR="00031460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050416" w:rsidRDefault="00050416" w:rsidP="00050416">
      <w:pPr>
        <w:spacing w:line="360" w:lineRule="auto"/>
        <w:ind w:firstLine="570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fldChar w:fldCharType="begin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instrText xml:space="preserve"> = 3 \* GB3 \* MERGEFORMAT </w:instrTex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fldChar w:fldCharType="separate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③</w:t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fldChar w:fldCharType="end"/>
      </w:r>
      <w:r w:rsidRPr="00374C2A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使用现场提供直径35厘米的圆平盘1个盛装菜品，作品应满足1人量，统一样式制作二份，一份展示，一份供评委品尝</w:t>
      </w:r>
      <w:r w:rsidR="00031460"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。</w:t>
      </w:r>
    </w:p>
    <w:p w:rsidR="00050416" w:rsidRDefault="00050416" w:rsidP="00050416">
      <w:pPr>
        <w:spacing w:line="360" w:lineRule="auto"/>
        <w:rPr>
          <w:rFonts w:ascii="仿宋_GB2312" w:eastAsia="仿宋_GB2312" w:hAnsi="仿宋" w:cs="仿宋_GB2312"/>
          <w:bCs/>
          <w:color w:val="000000" w:themeColor="text1"/>
          <w:kern w:val="0"/>
          <w:sz w:val="28"/>
          <w:szCs w:val="28"/>
        </w:rPr>
      </w:pPr>
      <w:r>
        <w:rPr>
          <w:rFonts w:ascii="仿宋_GB2312" w:eastAsia="仿宋_GB2312" w:hAnsi="仿宋" w:cs="仿宋_GB2312" w:hint="eastAsia"/>
          <w:bCs/>
          <w:color w:val="000000" w:themeColor="text1"/>
          <w:kern w:val="0"/>
          <w:sz w:val="28"/>
          <w:szCs w:val="28"/>
        </w:rPr>
        <w:t>（4）评分标准：</w:t>
      </w:r>
    </w:p>
    <w:p w:rsidR="00050416" w:rsidRPr="0047073A" w:rsidRDefault="00050416" w:rsidP="00050416">
      <w:pPr>
        <w:spacing w:line="360" w:lineRule="auto"/>
        <w:ind w:firstLine="570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①参见《赛项规程》</w:t>
      </w:r>
      <w:r w:rsidR="00031460">
        <w:rPr>
          <w:rFonts w:ascii="仿宋_GB2312" w:eastAsia="仿宋_GB2312" w:hAnsiTheme="minorEastAsia" w:hint="eastAsia"/>
          <w:sz w:val="28"/>
          <w:szCs w:val="28"/>
        </w:rPr>
        <w:t>。</w:t>
      </w:r>
      <w:bookmarkStart w:id="0" w:name="_GoBack"/>
      <w:bookmarkEnd w:id="0"/>
    </w:p>
    <w:p w:rsidR="00F332F7" w:rsidRPr="00050416" w:rsidRDefault="00F332F7" w:rsidP="00050416"/>
    <w:sectPr w:rsidR="00F332F7" w:rsidRPr="00050416" w:rsidSect="00374C2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B09" w:rsidRDefault="00025B09" w:rsidP="0003645E">
      <w:r>
        <w:separator/>
      </w:r>
    </w:p>
  </w:endnote>
  <w:endnote w:type="continuationSeparator" w:id="0">
    <w:p w:rsidR="00025B09" w:rsidRDefault="00025B09" w:rsidP="0003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B09" w:rsidRDefault="00025B09" w:rsidP="0003645E">
      <w:r>
        <w:separator/>
      </w:r>
    </w:p>
  </w:footnote>
  <w:footnote w:type="continuationSeparator" w:id="0">
    <w:p w:rsidR="00025B09" w:rsidRDefault="00025B09" w:rsidP="000364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3765F25"/>
    <w:rsid w:val="00025B09"/>
    <w:rsid w:val="00031460"/>
    <w:rsid w:val="0003645E"/>
    <w:rsid w:val="00050416"/>
    <w:rsid w:val="001B5848"/>
    <w:rsid w:val="003522D3"/>
    <w:rsid w:val="00374C2A"/>
    <w:rsid w:val="003E640A"/>
    <w:rsid w:val="003F37A6"/>
    <w:rsid w:val="00556E96"/>
    <w:rsid w:val="00640740"/>
    <w:rsid w:val="006B4759"/>
    <w:rsid w:val="00752B41"/>
    <w:rsid w:val="00AA4965"/>
    <w:rsid w:val="00B23267"/>
    <w:rsid w:val="00CF7AF7"/>
    <w:rsid w:val="00F332F7"/>
    <w:rsid w:val="016D158E"/>
    <w:rsid w:val="01782F81"/>
    <w:rsid w:val="01EB48C5"/>
    <w:rsid w:val="029959A5"/>
    <w:rsid w:val="032E460B"/>
    <w:rsid w:val="04D43517"/>
    <w:rsid w:val="05870FA8"/>
    <w:rsid w:val="05AE3BA9"/>
    <w:rsid w:val="0A795347"/>
    <w:rsid w:val="0B6E7611"/>
    <w:rsid w:val="0BD831C9"/>
    <w:rsid w:val="0C0751DF"/>
    <w:rsid w:val="0C4F1D00"/>
    <w:rsid w:val="0C613BD7"/>
    <w:rsid w:val="10EF5544"/>
    <w:rsid w:val="121B5D09"/>
    <w:rsid w:val="136520B5"/>
    <w:rsid w:val="139C56F2"/>
    <w:rsid w:val="14205009"/>
    <w:rsid w:val="149D4A0A"/>
    <w:rsid w:val="182030E2"/>
    <w:rsid w:val="189360C7"/>
    <w:rsid w:val="189E7EBE"/>
    <w:rsid w:val="19C04A4C"/>
    <w:rsid w:val="1B2D77E0"/>
    <w:rsid w:val="1B8C11B5"/>
    <w:rsid w:val="1C7A4CF6"/>
    <w:rsid w:val="1CC51B6C"/>
    <w:rsid w:val="1DBA127B"/>
    <w:rsid w:val="20F50996"/>
    <w:rsid w:val="21CD0BEF"/>
    <w:rsid w:val="23B47BEB"/>
    <w:rsid w:val="259B6354"/>
    <w:rsid w:val="2853701C"/>
    <w:rsid w:val="29AF0C29"/>
    <w:rsid w:val="2B286A13"/>
    <w:rsid w:val="2B821B36"/>
    <w:rsid w:val="2FEE5CDF"/>
    <w:rsid w:val="30B9367B"/>
    <w:rsid w:val="313040C3"/>
    <w:rsid w:val="31666B76"/>
    <w:rsid w:val="33765F25"/>
    <w:rsid w:val="36EB31F4"/>
    <w:rsid w:val="37205D7F"/>
    <w:rsid w:val="37532D9A"/>
    <w:rsid w:val="3F1A5520"/>
    <w:rsid w:val="3FDC1D55"/>
    <w:rsid w:val="3FFD123E"/>
    <w:rsid w:val="417930A5"/>
    <w:rsid w:val="41BE74C5"/>
    <w:rsid w:val="421F7B51"/>
    <w:rsid w:val="43125EC7"/>
    <w:rsid w:val="437361A9"/>
    <w:rsid w:val="463C077F"/>
    <w:rsid w:val="48403E8E"/>
    <w:rsid w:val="4A403F87"/>
    <w:rsid w:val="4E493C7F"/>
    <w:rsid w:val="4FAC4CEA"/>
    <w:rsid w:val="504478E9"/>
    <w:rsid w:val="50FC69BF"/>
    <w:rsid w:val="51EE2315"/>
    <w:rsid w:val="56506C73"/>
    <w:rsid w:val="56C16333"/>
    <w:rsid w:val="594D0D64"/>
    <w:rsid w:val="5E5E5FD7"/>
    <w:rsid w:val="63E440D7"/>
    <w:rsid w:val="651033DE"/>
    <w:rsid w:val="662D24E7"/>
    <w:rsid w:val="668E3447"/>
    <w:rsid w:val="670057D0"/>
    <w:rsid w:val="68016E86"/>
    <w:rsid w:val="68A36BC9"/>
    <w:rsid w:val="69882795"/>
    <w:rsid w:val="6A313EDD"/>
    <w:rsid w:val="706C13D9"/>
    <w:rsid w:val="7161168A"/>
    <w:rsid w:val="73C8385E"/>
    <w:rsid w:val="74595787"/>
    <w:rsid w:val="752676A3"/>
    <w:rsid w:val="758C2AA8"/>
    <w:rsid w:val="75AA583E"/>
    <w:rsid w:val="7743496E"/>
    <w:rsid w:val="78A434C2"/>
    <w:rsid w:val="7B1F3B14"/>
    <w:rsid w:val="7B696903"/>
    <w:rsid w:val="7BF57A49"/>
    <w:rsid w:val="7DFB2DD7"/>
    <w:rsid w:val="7EA8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27F589"/>
  <w15:docId w15:val="{C12BE5C7-A7E0-486B-A702-BAEE7AA6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6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3645E"/>
    <w:rPr>
      <w:kern w:val="2"/>
      <w:sz w:val="18"/>
      <w:szCs w:val="18"/>
    </w:rPr>
  </w:style>
  <w:style w:type="paragraph" w:styleId="a5">
    <w:name w:val="footer"/>
    <w:basedOn w:val="a"/>
    <w:link w:val="a6"/>
    <w:rsid w:val="000364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3645E"/>
    <w:rPr>
      <w:kern w:val="2"/>
      <w:sz w:val="18"/>
      <w:szCs w:val="18"/>
    </w:rPr>
  </w:style>
  <w:style w:type="paragraph" w:styleId="a7">
    <w:name w:val="Normal (Web)"/>
    <w:basedOn w:val="a"/>
    <w:qFormat/>
    <w:rsid w:val="00F332F7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xujichun</cp:lastModifiedBy>
  <cp:revision>9</cp:revision>
  <dcterms:created xsi:type="dcterms:W3CDTF">2021-12-01T01:25:00Z</dcterms:created>
  <dcterms:modified xsi:type="dcterms:W3CDTF">2021-12-22T05:50:00Z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